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24F2E09B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824410" w:rsidRPr="00824410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โครงการจัดตั้งศูนย์ปฏิบัติการวิจัยรังสีรักษาจากโบรอนจับยึดนิวตรอน</w:t>
      </w:r>
    </w:p>
    <w:p w14:paraId="237E256B" w14:textId="006B49C7" w:rsidR="00147C4F" w:rsidRDefault="003F28C9" w:rsidP="00147C4F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24410" w:rsidRPr="00824410">
        <w:rPr>
          <w:rFonts w:ascii="TH SarabunPSK" w:hAnsi="TH SarabunPSK" w:cs="TH SarabunPSK"/>
          <w:spacing w:val="-4"/>
          <w:sz w:val="32"/>
          <w:szCs w:val="32"/>
          <w:cs/>
        </w:rPr>
        <w:t>การจัดซื้อวัสดุอุปกรณ์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="00824410" w:rsidRPr="00824410">
        <w:rPr>
          <w:rFonts w:ascii="TH SarabunPSK" w:hAnsi="TH SarabunPSK" w:cs="TH SarabunPSK"/>
          <w:spacing w:val="-4"/>
          <w:sz w:val="32"/>
          <w:szCs w:val="32"/>
          <w:cs/>
        </w:rPr>
        <w:t>การจัดหาใบเสนอราคาแบบเครดิต</w:t>
      </w:r>
    </w:p>
    <w:p w14:paraId="08A6960D" w14:textId="3AEFFB08" w:rsidR="001B593A" w:rsidRPr="008A0A37" w:rsidRDefault="003F28C9" w:rsidP="00147C4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56B7FAC9" w14:textId="2E0E3647" w:rsidR="00AB61FF" w:rsidRDefault="003F28C9" w:rsidP="00824410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4410" w:rsidRPr="00824410">
        <w:rPr>
          <w:rFonts w:ascii="TH SarabunPSK" w:hAnsi="TH SarabunPSK" w:cs="TH SarabunPSK"/>
          <w:sz w:val="32"/>
          <w:szCs w:val="32"/>
          <w:cs/>
        </w:rPr>
        <w:t>ร้านค้าแบบเครดิตสามารถเสนอราคาสูงกว่าท้องตลาดทั่วไปได้โดยง่าย เนื่องจากไม่มีคู่แข่ง</w:t>
      </w:r>
    </w:p>
    <w:p w14:paraId="71EE03AD" w14:textId="77777777" w:rsidR="00142BF3" w:rsidRDefault="00142BF3" w:rsidP="00147C4F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2F0C57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147C4F" w:rsidRPr="00256292" w14:paraId="671CEE8F" w14:textId="77777777" w:rsidTr="005643AB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1BA858C9" w14:textId="77777777" w:rsidR="00824410" w:rsidRPr="00824410" w:rsidRDefault="00824410" w:rsidP="00824410">
            <w:pPr>
              <w:jc w:val="thaiDistribute"/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</w:pPr>
            <w:r w:rsidRPr="00824410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รายละเอียดการดำเนินงานตามกิจกรรมควบคุม</w:t>
            </w:r>
          </w:p>
          <w:p w14:paraId="2462D1C4" w14:textId="77777777" w:rsidR="00824410" w:rsidRPr="00824410" w:rsidRDefault="00824410" w:rsidP="00824410">
            <w:pPr>
              <w:pStyle w:val="ListParagraph"/>
              <w:numPr>
                <w:ilvl w:val="0"/>
                <w:numId w:val="4"/>
              </w:numPr>
              <w:ind w:left="307" w:hanging="284"/>
              <w:jc w:val="thaiDistribute"/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</w:pPr>
            <w:r w:rsidRPr="00824410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ทำการเปรียบเทียบราคาจากร้านค้าอย่างน้อย 3 ราย ทั้งเงินสดและเครดิต</w:t>
            </w:r>
          </w:p>
          <w:p w14:paraId="7E160F43" w14:textId="77777777" w:rsidR="00824410" w:rsidRPr="00824410" w:rsidRDefault="00824410" w:rsidP="00824410">
            <w:pPr>
              <w:pStyle w:val="ListParagraph"/>
              <w:numPr>
                <w:ilvl w:val="0"/>
                <w:numId w:val="4"/>
              </w:numPr>
              <w:ind w:left="307" w:hanging="284"/>
              <w:jc w:val="thaiDistribute"/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</w:pPr>
            <w:r w:rsidRPr="00824410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ต้องมีเหตุผล/หลักฐานรองรับว่าทำไมเลือกซื้อจากร้านเครดิต แม้ราคาแพงกว่า</w:t>
            </w:r>
          </w:p>
          <w:p w14:paraId="2F546CFC" w14:textId="77777777" w:rsidR="00824410" w:rsidRPr="00824410" w:rsidRDefault="00824410" w:rsidP="00824410">
            <w:pPr>
              <w:pStyle w:val="ListParagraph"/>
              <w:numPr>
                <w:ilvl w:val="0"/>
                <w:numId w:val="4"/>
              </w:numPr>
              <w:ind w:left="307" w:hanging="284"/>
              <w:jc w:val="thaiDistribute"/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</w:pPr>
            <w:r w:rsidRPr="00824410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ถ้าเป็นไปได้ ควรปรับระบบงบประมาณหรือการเบิกจ่ายให้ง่ายขึ้น เพื่อให้สามารถซื้อเงินสดจากห้าง/ร้านทั่วไปได้ โดยไม่ต้องเครดิต</w:t>
            </w:r>
          </w:p>
          <w:p w14:paraId="58A648FE" w14:textId="51F769F2" w:rsidR="00147C4F" w:rsidRPr="00BC3A3E" w:rsidRDefault="00147C4F" w:rsidP="00824410">
            <w:pPr>
              <w:pStyle w:val="ListParagraph"/>
              <w:jc w:val="thaiDistribute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7E4B2537" w14:textId="30452AF6" w:rsidR="00147C4F" w:rsidRPr="00856F6A" w:rsidRDefault="00824410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23DFB33B" w14:textId="4255B6D5" w:rsidR="00147C4F" w:rsidRPr="00256292" w:rsidRDefault="00824410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7EBA8D6" w14:textId="6474E020" w:rsidR="00147C4F" w:rsidRPr="001A634E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676E26BE" w:rsidR="00147C4F" w:rsidRPr="00256292" w:rsidRDefault="00824410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70B79BC3" w:rsidR="00147C4F" w:rsidRPr="00256292" w:rsidRDefault="00824410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4201A1BA" w:rsidR="00147C4F" w:rsidRPr="00256292" w:rsidRDefault="00824410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147C4F" w:rsidRPr="00256292" w:rsidRDefault="00147C4F" w:rsidP="00147C4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7EF7BB6B" w14:textId="050C9B9D" w:rsidR="00147C4F" w:rsidRPr="00256292" w:rsidRDefault="00147C4F" w:rsidP="00147C4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00DDFC59" w14:textId="39C2CE0C" w:rsidR="00147C4F" w:rsidRPr="00256292" w:rsidRDefault="00142BF3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694" w:type="dxa"/>
          </w:tcPr>
          <w:p w14:paraId="5F269B33" w14:textId="430989A6" w:rsidR="00147C4F" w:rsidRPr="00256292" w:rsidRDefault="00142BF3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61D7C736" w14:textId="2ECE856F" w:rsidR="00AB61FF" w:rsidRDefault="00AB61FF"/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3"/>
  </w:num>
  <w:num w:numId="3" w16cid:durableId="657004552">
    <w:abstractNumId w:val="2"/>
  </w:num>
  <w:num w:numId="4" w16cid:durableId="165321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77156"/>
    <w:rsid w:val="003A40C1"/>
    <w:rsid w:val="003F28B5"/>
    <w:rsid w:val="003F28C9"/>
    <w:rsid w:val="00414BDC"/>
    <w:rsid w:val="005643AB"/>
    <w:rsid w:val="00733299"/>
    <w:rsid w:val="007D19ED"/>
    <w:rsid w:val="00824410"/>
    <w:rsid w:val="0082671B"/>
    <w:rsid w:val="00856F6A"/>
    <w:rsid w:val="008A0A37"/>
    <w:rsid w:val="009A66C0"/>
    <w:rsid w:val="009F162F"/>
    <w:rsid w:val="00A41086"/>
    <w:rsid w:val="00A87FE2"/>
    <w:rsid w:val="00AB61FF"/>
    <w:rsid w:val="00B3018A"/>
    <w:rsid w:val="00B379F9"/>
    <w:rsid w:val="00BC3A3E"/>
    <w:rsid w:val="00C7735D"/>
    <w:rsid w:val="00E07023"/>
    <w:rsid w:val="00E42C40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961</Characters>
  <Application>Microsoft Office Word</Application>
  <DocSecurity>0</DocSecurity>
  <Lines>60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2025-12-17T03:45:00Z</dcterms:created>
  <dcterms:modified xsi:type="dcterms:W3CDTF">2025-12-17T03:45:00Z</dcterms:modified>
</cp:coreProperties>
</file>