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650AC6DA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C26794" w:rsidRPr="00C2679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ส่วนส่งเสริมวิชาการ</w:t>
      </w:r>
    </w:p>
    <w:p w14:paraId="534EC6E9" w14:textId="07D60F9E" w:rsidR="00A87FE2" w:rsidRPr="00A87FE2" w:rsidRDefault="003F28C9" w:rsidP="005D72E2">
      <w:pPr>
        <w:spacing w:after="0"/>
        <w:rPr>
          <w:rFonts w:ascii="TH SarabunPSK" w:hAnsi="TH SarabunPSK" w:cs="TH SarabunPSK" w:hint="cs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C26794" w:rsidRPr="00C26794">
        <w:rPr>
          <w:rFonts w:ascii="TH SarabunPSK" w:hAnsi="TH SarabunPSK" w:cs="TH SarabunPSK"/>
          <w:spacing w:val="-4"/>
          <w:sz w:val="32"/>
          <w:szCs w:val="32"/>
          <w:cs/>
        </w:rPr>
        <w:t>การใช้ทรัพย์สินของส่วนส่งเสริมวิชาการ</w:t>
      </w:r>
      <w:r w:rsidR="008F2CD9" w:rsidRPr="008F2CD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C2679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8F2CD9" w:rsidRPr="008F2CD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C26794" w:rsidRPr="00C26794">
        <w:rPr>
          <w:rFonts w:ascii="TH SarabunPSK" w:hAnsi="TH SarabunPSK" w:cs="TH SarabunPSK"/>
          <w:spacing w:val="-4"/>
          <w:sz w:val="32"/>
          <w:szCs w:val="32"/>
          <w:cs/>
        </w:rPr>
        <w:t xml:space="preserve">การยืมวัสดุ อุปกรณ์สำนักงาน   </w:t>
      </w:r>
      <w:r w:rsidR="00AD5DF7" w:rsidRPr="00AD5DF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DD1A9D" w:rsidRPr="00DD1A9D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BA6617" w:rsidRPr="00BA661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56B7FAC9" w14:textId="4D0D8E73" w:rsidR="00AB61FF" w:rsidRDefault="003F28C9" w:rsidP="00CF316C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26794" w:rsidRPr="00C26794">
        <w:rPr>
          <w:rFonts w:ascii="TH SarabunPSK" w:hAnsi="TH SarabunPSK" w:cs="TH SarabunPSK"/>
          <w:sz w:val="32"/>
          <w:szCs w:val="32"/>
          <w:cs/>
        </w:rPr>
        <w:t>การยืมวัสดุอุปกรณ์สำนักงาน ไม่นำมาส่งคืน</w:t>
      </w:r>
      <w:r w:rsidR="00220DD3" w:rsidRPr="00220DD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A20AA05" w14:textId="77777777" w:rsidR="00AD5DF7" w:rsidRPr="00BD682A" w:rsidRDefault="00AD5DF7" w:rsidP="00AD5DF7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F267D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C26794" w:rsidRPr="00256292" w14:paraId="3368072D" w14:textId="77777777" w:rsidTr="000712B4">
        <w:trPr>
          <w:trHeight w:val="885"/>
        </w:trPr>
        <w:tc>
          <w:tcPr>
            <w:tcW w:w="3672" w:type="dxa"/>
            <w:tcBorders>
              <w:bottom w:val="dotted" w:sz="4" w:space="0" w:color="auto"/>
            </w:tcBorders>
          </w:tcPr>
          <w:p w14:paraId="50665CB6" w14:textId="42508F36" w:rsidR="00C26794" w:rsidRPr="00C26794" w:rsidRDefault="00C26794" w:rsidP="00C26794">
            <w:pPr>
              <w:pStyle w:val="ListParagraph"/>
              <w:numPr>
                <w:ilvl w:val="0"/>
                <w:numId w:val="11"/>
              </w:numPr>
              <w:tabs>
                <w:tab w:val="left" w:pos="2520"/>
              </w:tabs>
              <w:ind w:left="310" w:hanging="284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C2679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ปรับปรุงแบบฟอร์มให้มีรายละเอียดครบถ้วน</w:t>
            </w:r>
            <w:r w:rsidRPr="00C2679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2679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โดย</w:t>
            </w:r>
            <w:r w:rsidRPr="00C2679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กำหนดการ</w:t>
            </w:r>
            <w:r w:rsidRPr="00C2679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จัดส่งคืนภายหลังการจัดกิจกรรมไม่เกิน 3 วันทำการ</w:t>
            </w:r>
          </w:p>
        </w:tc>
        <w:tc>
          <w:tcPr>
            <w:tcW w:w="853" w:type="dxa"/>
            <w:tcBorders>
              <w:top w:val="nil"/>
              <w:bottom w:val="dotted" w:sz="4" w:space="0" w:color="auto"/>
            </w:tcBorders>
          </w:tcPr>
          <w:p w14:paraId="01FF9447" w14:textId="7FDE3F07" w:rsidR="00C26794" w:rsidRPr="00CF316C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F316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100</w:t>
            </w:r>
            <w:r w:rsidRPr="00CF316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%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</w:tcPr>
          <w:p w14:paraId="44E81952" w14:textId="434E9CC1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</w:tcPr>
          <w:p w14:paraId="17203B1B" w14:textId="47034885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4A883CE5" w14:textId="76422E1D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12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6794FEF9" w14:textId="3B49EA7A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5A0671DE" w14:textId="09D44D09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444B4291" w14:textId="48E2CE72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16458441" w14:textId="6A8179FB" w:rsidR="00C26794" w:rsidRPr="008F72EF" w:rsidRDefault="00C26794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7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03EF6159" w14:textId="45D09251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nil"/>
              <w:bottom w:val="dotted" w:sz="4" w:space="0" w:color="auto"/>
            </w:tcBorders>
          </w:tcPr>
          <w:p w14:paraId="551EE734" w14:textId="77777777" w:rsidR="00C26794" w:rsidRPr="008F72EF" w:rsidRDefault="00C26794" w:rsidP="00C2679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1763B7F" w14:textId="77777777" w:rsidR="00C26794" w:rsidRPr="008F72EF" w:rsidRDefault="00C26794" w:rsidP="00C26794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 w:val="restart"/>
            <w:tcBorders>
              <w:top w:val="nil"/>
            </w:tcBorders>
          </w:tcPr>
          <w:p w14:paraId="7FD53865" w14:textId="308DD01B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694" w:type="dxa"/>
            <w:vMerge w:val="restart"/>
            <w:tcBorders>
              <w:top w:val="nil"/>
            </w:tcBorders>
          </w:tcPr>
          <w:p w14:paraId="31E182EA" w14:textId="5799563A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</w:tr>
      <w:tr w:rsidR="00C26794" w:rsidRPr="00256292" w14:paraId="4899B6AC" w14:textId="77777777" w:rsidTr="003312E3">
        <w:trPr>
          <w:trHeight w:val="885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62F4D1F6" w14:textId="1CB2A958" w:rsidR="00C26794" w:rsidRPr="00C26794" w:rsidRDefault="00C26794" w:rsidP="00C26794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310" w:hanging="284"/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</w:pPr>
            <w:r w:rsidRPr="00C2679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ผู้</w:t>
            </w:r>
            <w:r w:rsidRPr="00C2679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ยืม</w:t>
            </w:r>
            <w:r w:rsidRPr="00C2679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จะต้องจัดส่งตามเกณฑ์ที่กำหนดใน ข้อ (1)</w:t>
            </w:r>
            <w:r w:rsidRPr="00C2679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bottom w:val="dotted" w:sz="4" w:space="0" w:color="auto"/>
            </w:tcBorders>
          </w:tcPr>
          <w:p w14:paraId="6527BDAE" w14:textId="0C24EA21" w:rsidR="00C26794" w:rsidRPr="00CF316C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F316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100</w:t>
            </w:r>
            <w:r w:rsidRPr="00CF316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%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</w:tcPr>
          <w:p w14:paraId="40A4AAF5" w14:textId="73AE41BB" w:rsidR="00C26794" w:rsidRDefault="00C26794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</w:tcPr>
          <w:p w14:paraId="083F3E51" w14:textId="7BA2F236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7D465D93" w14:textId="06FEFACF" w:rsidR="00C26794" w:rsidRDefault="00C26794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712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0F80BA6E" w14:textId="01E21B24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587CC256" w14:textId="3C2DC8B9" w:rsidR="00C26794" w:rsidRDefault="00C26794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75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453835CF" w14:textId="5A37F291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18751481" w14:textId="5040C09D" w:rsidR="00C26794" w:rsidRDefault="00C26794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7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5EA04538" w14:textId="2F619140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nil"/>
              <w:bottom w:val="dotted" w:sz="4" w:space="0" w:color="auto"/>
            </w:tcBorders>
          </w:tcPr>
          <w:p w14:paraId="17543DE8" w14:textId="77777777" w:rsidR="00C26794" w:rsidRPr="008F72EF" w:rsidRDefault="00C26794" w:rsidP="00C2679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458C6390" w14:textId="77777777" w:rsidR="00C26794" w:rsidRPr="008F72EF" w:rsidRDefault="00C26794" w:rsidP="00C26794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14:paraId="35D46C92" w14:textId="77777777" w:rsidR="00C26794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 w14:paraId="3155EE0A" w14:textId="77777777" w:rsidR="00C26794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  <w:tr w:rsidR="00C26794" w:rsidRPr="00256292" w14:paraId="4FF26D4A" w14:textId="77777777" w:rsidTr="000712B4">
        <w:trPr>
          <w:trHeight w:val="885"/>
        </w:trPr>
        <w:tc>
          <w:tcPr>
            <w:tcW w:w="3672" w:type="dxa"/>
            <w:tcBorders>
              <w:top w:val="dotted" w:sz="4" w:space="0" w:color="auto"/>
            </w:tcBorders>
          </w:tcPr>
          <w:p w14:paraId="7A10BC5C" w14:textId="78F7E89E" w:rsidR="00C26794" w:rsidRPr="00C26794" w:rsidRDefault="00C26794" w:rsidP="00C26794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310" w:hanging="284"/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</w:pPr>
            <w:r w:rsidRPr="00C2679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กําหนดผู้ดูแลและผู้ตรวจสอบ/ติดตาม เอกสารการยืม-คืน</w:t>
            </w: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6F170D88" w14:textId="486A1EC8" w:rsidR="00C26794" w:rsidRPr="00C26794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C26794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C26794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  <w:r w:rsidRPr="00C26794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/ไตรมาส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626EFAD6" w14:textId="155F9E7D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5699DB40" w14:textId="21DEE5A3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7D1B96" w14:textId="0377EA36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5983491" w14:textId="3DA70A22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B2567CD" w14:textId="7F6DECEB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0C2E76" w14:textId="4C3C9E4F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5F62F9" w14:textId="037590BF" w:rsidR="00C26794" w:rsidRPr="008F72EF" w:rsidRDefault="00C26794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964B8D5" w14:textId="4C920A66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6C16BB72" w14:textId="77777777" w:rsidR="00C26794" w:rsidRPr="008F72EF" w:rsidRDefault="00C26794" w:rsidP="00C2679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8139D12" w14:textId="77777777" w:rsidR="00C26794" w:rsidRPr="008F72EF" w:rsidRDefault="00C26794" w:rsidP="00C26794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/>
          </w:tcPr>
          <w:p w14:paraId="437D7F46" w14:textId="77777777" w:rsidR="00C26794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/>
          </w:tcPr>
          <w:p w14:paraId="40888210" w14:textId="77777777" w:rsidR="00C26794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15F24"/>
    <w:multiLevelType w:val="hybridMultilevel"/>
    <w:tmpl w:val="75F4A5C2"/>
    <w:lvl w:ilvl="0" w:tplc="E6E6B50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35C32"/>
    <w:multiLevelType w:val="hybridMultilevel"/>
    <w:tmpl w:val="A9829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23EA9"/>
    <w:multiLevelType w:val="hybridMultilevel"/>
    <w:tmpl w:val="A9829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C4360"/>
    <w:multiLevelType w:val="hybridMultilevel"/>
    <w:tmpl w:val="56E04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F7384E"/>
    <w:multiLevelType w:val="hybridMultilevel"/>
    <w:tmpl w:val="0BCCEF00"/>
    <w:lvl w:ilvl="0" w:tplc="66C4F1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0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1" w15:restartNumberingAfterBreak="0">
    <w:nsid w:val="79910F6B"/>
    <w:multiLevelType w:val="hybridMultilevel"/>
    <w:tmpl w:val="1BD86E28"/>
    <w:lvl w:ilvl="0" w:tplc="D63E979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5"/>
  </w:num>
  <w:num w:numId="2" w16cid:durableId="552740815">
    <w:abstractNumId w:val="10"/>
  </w:num>
  <w:num w:numId="3" w16cid:durableId="560018404">
    <w:abstractNumId w:val="7"/>
  </w:num>
  <w:num w:numId="4" w16cid:durableId="1241480124">
    <w:abstractNumId w:val="9"/>
  </w:num>
  <w:num w:numId="5" w16cid:durableId="1252157319">
    <w:abstractNumId w:val="1"/>
  </w:num>
  <w:num w:numId="6" w16cid:durableId="618296121">
    <w:abstractNumId w:val="6"/>
  </w:num>
  <w:num w:numId="7" w16cid:durableId="20058312">
    <w:abstractNumId w:val="11"/>
  </w:num>
  <w:num w:numId="8" w16cid:durableId="358437003">
    <w:abstractNumId w:val="4"/>
  </w:num>
  <w:num w:numId="9" w16cid:durableId="1009870666">
    <w:abstractNumId w:val="3"/>
  </w:num>
  <w:num w:numId="10" w16cid:durableId="605893397">
    <w:abstractNumId w:val="2"/>
  </w:num>
  <w:num w:numId="11" w16cid:durableId="889614304">
    <w:abstractNumId w:val="8"/>
  </w:num>
  <w:num w:numId="12" w16cid:durableId="1141921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54097"/>
    <w:rsid w:val="000C6496"/>
    <w:rsid w:val="0011669C"/>
    <w:rsid w:val="00156BE7"/>
    <w:rsid w:val="001941C4"/>
    <w:rsid w:val="001A5676"/>
    <w:rsid w:val="001A634E"/>
    <w:rsid w:val="001B593A"/>
    <w:rsid w:val="00220DD3"/>
    <w:rsid w:val="00256292"/>
    <w:rsid w:val="00271421"/>
    <w:rsid w:val="002A618B"/>
    <w:rsid w:val="002C692A"/>
    <w:rsid w:val="003F28C9"/>
    <w:rsid w:val="00500D35"/>
    <w:rsid w:val="005D72E2"/>
    <w:rsid w:val="00625E99"/>
    <w:rsid w:val="006D5E54"/>
    <w:rsid w:val="00733299"/>
    <w:rsid w:val="0079415B"/>
    <w:rsid w:val="007E0A9B"/>
    <w:rsid w:val="0082671B"/>
    <w:rsid w:val="008F2CD9"/>
    <w:rsid w:val="008F72EF"/>
    <w:rsid w:val="00910216"/>
    <w:rsid w:val="009A66C0"/>
    <w:rsid w:val="009F162F"/>
    <w:rsid w:val="00A87FE2"/>
    <w:rsid w:val="00AB61FF"/>
    <w:rsid w:val="00AD5DF7"/>
    <w:rsid w:val="00B3018A"/>
    <w:rsid w:val="00B379F9"/>
    <w:rsid w:val="00B4437A"/>
    <w:rsid w:val="00BA6617"/>
    <w:rsid w:val="00C26794"/>
    <w:rsid w:val="00C7735D"/>
    <w:rsid w:val="00CF316C"/>
    <w:rsid w:val="00D357CC"/>
    <w:rsid w:val="00DA24DC"/>
    <w:rsid w:val="00DD1A9D"/>
    <w:rsid w:val="00E07023"/>
    <w:rsid w:val="00E42C40"/>
    <w:rsid w:val="00E81FDE"/>
    <w:rsid w:val="00EC4C8C"/>
    <w:rsid w:val="00EE5059"/>
    <w:rsid w:val="00F05F3D"/>
    <w:rsid w:val="00F267D6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929</Characters>
  <Application>Microsoft Office Word</Application>
  <DocSecurity>0</DocSecurity>
  <Lines>92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2025-12-16T08:10:00Z</dcterms:created>
  <dcterms:modified xsi:type="dcterms:W3CDTF">2025-12-16T08:10:00Z</dcterms:modified>
</cp:coreProperties>
</file>